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999821.xml.htm"/>
      <w:bookmarkStart w:id="1" w:name="kswkform4_178699982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TANNENBAUM LEONARD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525 OKEECHOBEE BLVD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1650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 PALM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33401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Sunrise Realty Trust, Inc.</w:t>
              </w:r>
            </w:hyperlink>
            <w:r>
              <w:rPr/>
              <w:t xml:space="preserve"> [ </w:t>
            </w:r>
            <w:r>
              <w:rPr>
                <w:rFonts w:ascii="Times;serif" w:hAnsi="Times;serif"/>
                <w:color w:val="0000FF"/>
                <w:sz w:val="24"/>
                <w:shd w:fill="FFFFFF" w:val="clear"/>
              </w:rPr>
              <w:t>SUNS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Executive Chairman</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921"/>
        <w:gridCol w:w="446"/>
        <w:gridCol w:w="608"/>
        <w:gridCol w:w="1267"/>
        <w:gridCol w:w="986"/>
        <w:gridCol w:w="106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7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6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7.5</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3,142,719</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585,681</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w:t>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reporting person as UTMA custodian for son</w:t>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58,958</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46,516</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by spouse</w:t>
            </w:r>
            <w:r>
              <w:rPr>
                <w:rFonts w:ascii="Times;serif" w:hAnsi="Times;serif"/>
                <w:color w:val="008000"/>
                <w:position w:val="7"/>
                <w:sz w:val="16"/>
                <w:sz w:val="20"/>
                <w:shd w:fill="FFFFFF" w:val="clear"/>
              </w:rPr>
              <w:t>(4)</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are held by the Tannenbaum Family Foundation (formerly known as the Leonard M. Tannenbaum Foundation), for which the Reporting Person serves as the President. The Reporting Person disclaims beneficial ownership of the reported securities except to the extent of his pecuniary interest.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are held by the Sunny 5 Irrevocable Trust for benefit of certain members of the Reporting Person's family, for which Jeffrey Boccuzzi is a Co-Trustee. The Reporting Person disclaims beneficial ownership of the reported securities except to the extent of his pecuniary interest.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shares are held by the Tannenbaum Family 2012 Trust for benefit of certain members of the Reporting Person's family, for which Gabriel Katz is a Co-Trustee. The Reporting Person disclaims beneficial ownership of the reported securities except to the extent of his pecuniary interest.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Reporting Person disclaims beneficial ownership of these securities, and this report shall not be deemed an admission that the Reporting Person is the beneficial owner of the securities for purposes of Section 16 or for any other purpose.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Brandon Hetzel,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00461" TargetMode="External"/><Relationship Id="rId5" Type="http://schemas.openxmlformats.org/officeDocument/2006/relationships/hyperlink" Target="http://www.sec.gov/cgi-bin/browse-edgar?action=getcompany&amp;CIK=000201270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782</Words>
  <Characters>4244</Characters>
  <CharactersWithSpaces>4934</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