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October 23, 2026</w:t>
      </w:r>
    </w:p>
    <w:p>
      <w:pPr>
        <w:pStyle w:val="TextBody"/>
        <w:bidi w:val="0"/>
        <w:spacing w:before="60" w:after="283"/>
        <w:jc w:val="center"/>
        <w:rPr/>
      </w:pPr>
      <w:r>
        <w:rPr/>
        <w:drawing>
          <wp:inline distT="0" distB="0" distL="0" distR="0">
            <wp:extent cx="209550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942975"/>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SUNRISE REALTY TRUST,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908" w:type="dxa"/>
        <w:jc w:val="left"/>
        <w:tblInd w:w="0" w:type="dxa"/>
        <w:tblLayout w:type="fixed"/>
        <w:tblCellMar>
          <w:top w:w="28" w:type="dxa"/>
          <w:left w:w="28" w:type="dxa"/>
          <w:bottom w:w="28" w:type="dxa"/>
          <w:right w:w="28" w:type="dxa"/>
        </w:tblCellMar>
      </w:tblPr>
      <w:tblGrid>
        <w:gridCol w:w="1345"/>
        <w:gridCol w:w="1184"/>
        <w:gridCol w:w="1190"/>
        <w:gridCol w:w="762"/>
        <w:gridCol w:w="762"/>
        <w:gridCol w:w="770"/>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u w:val="single"/>
              </w:rPr>
            </w:pPr>
            <w:r>
              <w:rPr>
                <w:rFonts w:ascii="Times New Roman;serif" w:hAnsi="Times New Roman;serif"/>
                <w:b/>
                <w:color w:val="000000"/>
                <w:sz w:val="20"/>
                <w:u w:val="single"/>
              </w:rPr>
              <w:t>001-41971</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93-3168928</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525 Okeechobee Blvd., Suite 1650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West Palm Beach, FL, 33401</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561-530-3315</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637" w:type="dxa"/>
        <w:jc w:val="left"/>
        <w:tblInd w:w="0" w:type="dxa"/>
        <w:tblLayout w:type="fixed"/>
        <w:tblCellMar>
          <w:top w:w="28" w:type="dxa"/>
          <w:left w:w="28" w:type="dxa"/>
          <w:bottom w:w="28" w:type="dxa"/>
          <w:right w:w="28" w:type="dxa"/>
        </w:tblCellMar>
      </w:tblPr>
      <w:tblGrid>
        <w:gridCol w:w="1325"/>
        <w:gridCol w:w="1160"/>
        <w:gridCol w:w="1174"/>
        <w:gridCol w:w="109"/>
        <w:gridCol w:w="109"/>
        <w:gridCol w:w="109"/>
        <w:gridCol w:w="539"/>
        <w:gridCol w:w="539"/>
        <w:gridCol w:w="541"/>
        <w:gridCol w:w="109"/>
        <w:gridCol w:w="109"/>
        <w:gridCol w:w="109"/>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SUNS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23, 2026, Sunrise Realty Trust, Inc. (the “Company”) held a special meeting of the Company’s stockholders (such meeting, the “Special Meeting”). At the Special Meeting, holders of the Company’s common stock, $0.01 par value per share (the “SUNS Common Stock”), voted on a proposal to approve the issuance of approximately 8,464,955 shares of SUNS Common Stock, subject to certain adjustments, pursuant to the Agreement and Plan of Merger (the “Merger Agreement”), by and among the Company, Southern Realty Trust Inc. (“SRT”), Sunrise Merger Sub, LLC, a wholly owned subsidiary of the Company (“Merger Sub”), and, solely for the limited purposes set forth in the Merger Agreement, Sunrise Manager LLC, the external manager of the Company (such proposal, the “Stock Issuance Proposal”). </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close of business on September 10, 2026, the record date for the Special Meeting (the “Record Date”), there were 13,515,851 shares of SUNS Common Stock outstanding and entitled to vote at the Special Meeting. Each share of SUNS Common Stock outstanding at the close of business on the Record Date was entitled to one vote on each matter presented for consideration and action by the Company’s stockholders at the Special Meeting. A total of 8,041,557 shares of SUNS Common Stock were voted virtually or by proxy at the Special Meeting, representing approximately 59.5% of the votes entitled to be cast at the Special Meeting, which constituted a quorum for the transaction of business at the Special Meeting.</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the Company’s stockholders approved the Stock Issuance Proposal, the adjournment proposal was not submitted to the Company’s stockholders.</w:t>
      </w:r>
    </w:p>
    <w:p>
      <w:pPr>
        <w:pStyle w:val="TextBody"/>
        <w:bidi w:val="0"/>
        <w:spacing w:lineRule="auto" w:line="288" w:before="20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Proposal 1 – Stock Issuance Proposal</w:t>
      </w:r>
    </w:p>
    <w:p>
      <w:pPr>
        <w:pStyle w:val="TextBody"/>
        <w:bidi w:val="0"/>
        <w:spacing w:lineRule="auto" w:line="288" w:before="20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stockholders voted in favor of the Stock Issuance Proposal. The table below sets forth the final voting results for the Stock Issuance Proposal:</w:t>
      </w:r>
    </w:p>
    <w:tbl>
      <w:tblPr>
        <w:tblW w:w="3176" w:type="dxa"/>
        <w:jc w:val="left"/>
        <w:tblInd w:w="0" w:type="dxa"/>
        <w:tblLayout w:type="fixed"/>
        <w:tblCellMar>
          <w:top w:w="28" w:type="dxa"/>
          <w:left w:w="28" w:type="dxa"/>
          <w:bottom w:w="28" w:type="dxa"/>
          <w:right w:w="28" w:type="dxa"/>
        </w:tblCellMar>
      </w:tblPr>
      <w:tblGrid>
        <w:gridCol w:w="342"/>
        <w:gridCol w:w="299"/>
        <w:gridCol w:w="305"/>
        <w:gridCol w:w="109"/>
        <w:gridCol w:w="109"/>
        <w:gridCol w:w="109"/>
        <w:gridCol w:w="259"/>
        <w:gridCol w:w="259"/>
        <w:gridCol w:w="263"/>
        <w:gridCol w:w="109"/>
        <w:gridCol w:w="109"/>
        <w:gridCol w:w="109"/>
        <w:gridCol w:w="232"/>
        <w:gridCol w:w="232"/>
        <w:gridCol w:w="331"/>
      </w:tblGrid>
      <w:tr>
        <w:trPr/>
        <w:tc>
          <w:tcPr>
            <w:tcW w:w="3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68" w:before="0" w:after="0"/>
              <w:ind w:left="0" w:right="0" w:hanging="5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946"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7,365,863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53"/>
              <w:jc w:val="left"/>
              <w:rPr>
                <w:sz w:val="4"/>
                <w:szCs w:val="4"/>
              </w:rPr>
            </w:pPr>
            <w:r>
              <w:rPr>
                <w:sz w:val="4"/>
                <w:szCs w:val="4"/>
              </w:rPr>
            </w:r>
          </w:p>
        </w:tc>
        <w:tc>
          <w:tcPr>
            <w:tcW w:w="781"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640,115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53"/>
              <w:jc w:val="left"/>
              <w:rPr>
                <w:sz w:val="4"/>
                <w:szCs w:val="4"/>
              </w:rPr>
            </w:pPr>
            <w:r>
              <w:rPr>
                <w:sz w:val="4"/>
                <w:szCs w:val="4"/>
              </w:rPr>
            </w:r>
          </w:p>
        </w:tc>
        <w:tc>
          <w:tcPr>
            <w:tcW w:w="795"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35,579</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Because the Stock Issuance Proposal was not a “routine” matter, there were no broker non-votes in connection with the Stock Issuance Proposal at the Special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23, 2026, the Board of Directors (the “Board”) of the Company authorized a prorated dividend on SUNS Common Stock in the amount of $0.09 per share (the “Stub Period Dividend”) for the calendar quarter in which the closing occurs of the previously announced pending merger, pursuant to which SRT will merge with and into Merger Sub, with Merger Sub surviving as a wholly owned subsidiary of the Company (the “Merger”). The Stub Period Dividend will be paid on November 5, 2026 to stockholders of record at the close of business on November 2, 2026. On October 23, 2026, the Company issued a press release announcing that the Board approved and the Company declared the Stub Period Dividend and the results of the Special Meeting. A copy of the press release is attached hereto as Exhibit 99.1 and is incorporated herein by reference.</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closing of the Merger is expected to occur on or around November 5, 2026, subject to the satisfaction of customary closing conditions. Approval of the Merger by SRT stockholders was obtained at SRT’s special meeting of stockholders on October 23, 2026. There can be no assurance that all closing conditions will be satisfied by November 5, 2026, that the Merger will close on November 5, 2026, or that the Merger will be consummated at all.</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communication contains certain “forward-looking” statements within the meaning of Section 27A of the Securities Act of 1933, as amended, and Section 21E of the Securities Exchange Act of 1934, as amended. The Company intends such forward-looking statements to be covered by the safe harbor provisions for forward-looking statements contained in the Private Securities Litigation Reform Act of 1995 and includes this statement for purposes of complying with the safe harbor provisions. Words such as “expects,” “anticipates,” “intends,” “plans,” “believes,” “seeks,” “estimates,” “will,” “should,” “may,” “projects,” “could,” “estimates” or variations of such words and other similar expressions are intended to identify such forward-looking statements, which generally are not historical in nature, but not all forward-looking statements include such identifying words. Forward-looking statements regarding the Company and SRT include, but are not limited to, statements related to the proposed Merger, including the anticipated timing,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3"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and financial and operational impact thereof; other statements of management’s belief, intentions or goals; the payment of future dividends by the Company; and other statements that are not historical facts. These forward-looking statements are based on each of the companies’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the Company’s and SRT’s ability to complete the proposed Merger on the proposed terms or on the anticipated timeline, or at all, including risks and uncertainties related to satisfaction of closing conditions to consummate the proposed Merger; the occurrence of any event, change or other circumstance that could give rise to the termination of the Merger Agreement; risks related to diverting the attention of Company and SRT management, respectively,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the Company’s and SRT’s respective businesses will not be integrated successfully or that such integration may be more difficult, time-consuming or costly than expected; the outcome of any legal proceedings relating to the proposed Merger, including stockholder litigation in connection with the proposed Merger; effects relating to the announcement of the proposed Merger or any further announcements or the consummation of the proposed Merger on the market price of the SUNS Common Stock; the availability of suitable investment or disposition opportunities; changes in interest rates, interest rate spreads, the yield curve and prepayment rates; the availability and terms of financing; general economic conditions; market conditions; inflationary pressures on the capital markets and the general economy; legislative and regulatory changes that could adversely affect the businesses of the Company and SRT, respectively; and other risks and uncertainties affecting the Company and SRT, including those described from time to time under the caption “Risk Factors” and elsewhere in the Company’s SEC filings and reports, including the Company’s annual report on Form 10-K for the year ended December 31, 2025 and other filings and reports by the Company. Moreover, other risks and uncertainties of which the Company or SRT are not currently aware may also affect each of the companies’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even if they are subsequently made available by SRT or the Company on their respective websites or otherwise. Neither the Company nor SRT undertakes any obligation to update or supplement any forward-looking statements to reflect actual results, new information, future events, changes in its expectations or other circumstances that exist after the date as of which the forward-looking statements were made,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720"/>
        <w:jc w:val="left"/>
        <w:rPr/>
      </w:pPr>
      <w:r>
        <w:rPr>
          <w:rFonts w:ascii="Times New Roman;serif" w:hAnsi="Times New Roman;serif"/>
          <w:b w:val="false"/>
          <w:color w:val="000000"/>
          <w:sz w:val="20"/>
          <w:shd w:fill="FFFFFF" w:val="clear"/>
        </w:rPr>
        <w:t>(d)</w:t>
      </w:r>
      <w:r>
        <w:rPr>
          <w:rFonts w:ascii="Times New Roman;serif" w:hAnsi="Times New Roman;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2574"/>
        <w:gridCol w:w="2574"/>
        <w:gridCol w:w="3663"/>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67"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pPr>
            <w:hyperlink w:anchor="suns-mergerapprovalandstub.htm">
              <w:r>
                <w:rPr>
                  <w:rStyle w:val="InternetLink"/>
                  <w:rFonts w:ascii="Times New Roman;serif" w:hAnsi="Times New Roman;serif"/>
                  <w:b w:val="false"/>
                  <w:color w:val="0000FF"/>
                  <w:sz w:val="20"/>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issued by Sunrise Realty Trust, Inc. on October 23, 2026.</w:t>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6560" w:type="dxa"/>
        <w:jc w:val="left"/>
        <w:tblInd w:w="0" w:type="dxa"/>
        <w:tblLayout w:type="fixed"/>
        <w:tblCellMar>
          <w:top w:w="28" w:type="dxa"/>
          <w:left w:w="28" w:type="dxa"/>
          <w:bottom w:w="28" w:type="dxa"/>
          <w:right w:w="28" w:type="dxa"/>
        </w:tblCellMar>
      </w:tblPr>
      <w:tblGrid>
        <w:gridCol w:w="726"/>
        <w:gridCol w:w="640"/>
        <w:gridCol w:w="643"/>
        <w:gridCol w:w="467"/>
        <w:gridCol w:w="467"/>
        <w:gridCol w:w="467"/>
        <w:gridCol w:w="922"/>
        <w:gridCol w:w="922"/>
        <w:gridCol w:w="1306"/>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SUNRISE REALTY TRUST,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Brandon Hetzel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Brandon Hetzel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23, 2026</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5"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drawing>
          <wp:inline distT="0" distB="0" distL="0" distR="0">
            <wp:extent cx="1790700" cy="10096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790700" cy="1009650"/>
                    </a:xfrm>
                    <a:prstGeom prst="rect">
                      <a:avLst/>
                    </a:prstGeom>
                  </pic:spPr>
                </pic:pic>
              </a:graphicData>
            </a:graphic>
          </wp:inline>
        </w:drawing>
      </w:r>
    </w:p>
    <w:p>
      <w:pPr>
        <w:pStyle w:val="TextBody"/>
        <w:bidi w:val="0"/>
        <w:spacing w:lineRule="auto" w:line="319" w:before="120" w:after="120"/>
        <w:jc w:val="center"/>
        <w:rPr>
          <w:rFonts w:ascii="Arial;sans-serif" w:hAnsi="Arial;sans-serif"/>
          <w:b/>
          <w:color w:val="000000"/>
          <w:sz w:val="24"/>
        </w:rPr>
      </w:pPr>
      <w:r>
        <w:rPr>
          <w:rFonts w:ascii="Arial;sans-serif" w:hAnsi="Arial;sans-serif"/>
          <w:b/>
          <w:color w:val="000000"/>
          <w:sz w:val="24"/>
        </w:rPr>
        <w:t>Stockholders of Sunrise Realty Trust, a Tannenbaum Capital Group Affiliate, Approve Merger-Related Proposal with Southern Realty Trust; Company Declares Stub Period Dividend</w:t>
      </w:r>
    </w:p>
    <w:p>
      <w:pPr>
        <w:pStyle w:val="TextBody"/>
        <w:bidi w:val="0"/>
        <w:spacing w:lineRule="auto" w:line="319" w:before="0" w:after="240"/>
        <w:jc w:val="both"/>
        <w:rPr/>
      </w:pPr>
      <w:r>
        <w:rPr>
          <w:rFonts w:ascii="Arial;sans-serif" w:hAnsi="Arial;sans-serif"/>
          <w:b/>
          <w:color w:val="000000"/>
          <w:sz w:val="20"/>
        </w:rPr>
        <w:t xml:space="preserve">WEST PALM BEACH, Fla., Oct. 23, 2026 – </w:t>
      </w:r>
      <w:r>
        <w:rPr>
          <w:rFonts w:ascii="Arial;sans-serif" w:hAnsi="Arial;sans-serif"/>
          <w:b w:val="false"/>
          <w:color w:val="000000"/>
          <w:sz w:val="20"/>
        </w:rPr>
        <w:t>Sunrise Realty Trust, Inc. (Nasdaq: SUNS) (“SUNS” or the “Company”), a lender on the Tannenbaum Capital Group (“TCG”) Real Estate platform, today announced that its stockholders approved the issuance of approximately 8,464,955 shares of SUNS common stock, subject to certain adjustments, in connection with the Company’s previously announced merger with Southern Realty Trust Inc. (“SRT”) (the “Merger”) at the Company’s special meeting of stockholders held earlier today (the “Special Meeting”). Approximately 59.5% of the outstanding shares of SUNS common stock were voted virtually or by proxy at the Special Meeting, and approximately 91.6% of the votes cast at the Special Meeting were voted in favor of the proposal. SRT stockholders also approved the Merger at its special meeting held earlier today. The approvals represent a key milestone toward combining SUNS and SRT into a larger, more efficient Nasdaq-listed commercial real estate lending platform.</w:t>
      </w:r>
    </w:p>
    <w:p>
      <w:pPr>
        <w:pStyle w:val="TextBody"/>
        <w:bidi w:val="0"/>
        <w:spacing w:lineRule="auto" w:line="319" w:before="0" w:after="240"/>
        <w:jc w:val="both"/>
        <w:rPr>
          <w:color w:val="000000"/>
        </w:rPr>
      </w:pPr>
      <w:r>
        <w:rPr>
          <w:color w:val="000000"/>
        </w:rPr>
        <w:t>“</w:t>
      </w:r>
      <w:r>
        <w:rPr>
          <w:rFonts w:ascii="Arial;sans-serif" w:hAnsi="Arial;sans-serif"/>
          <w:b w:val="false"/>
          <w:color w:val="000000"/>
          <w:sz w:val="20"/>
        </w:rPr>
        <w:t>We appreciate the support of our stockholders as we advance this strategic combination,” said Leonard M. Tannenbaum, Executive Chairman. “The Merger is expected to create a larger, more efficient lending platform with increased scale and improved access to capital, positioning us to continue to generate attractive risk-adjusted returns and build long-term stockholder value. We look forward to completing the Merger and welcoming SRT stockholders to SUNS.”</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Final voting results from the Special Meeting will be disclosed in a Current Report on Form 8-K to be filed with the U.S. Securities and Exchange Commission (the “SEC”).</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Pursuant to the Agreement and Plan of Merger relating to the Merger (the “Merger Agreement”), SUNS’ Board of Directors declared a prorated cash dividend of $0.09 per share of SUNS common stock (the “Stub Period Dividend”) for the fourth quarter through the day prior to the closing of the Merger. The Stub Period Dividend is payable on November 5, 2026 to the stockholders of record on November 2, 2026.</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The Merger is expected to close on November 5, 2026, subject to the satisfaction of remaining customary closing conditions. Upon closing, SRT will merge with and into a wholly owned subsidiary of SUNS, and SUNS common stock will continue to trade on Nasdaq under the symbol “SUNS.”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About Sunrise Realty Trust, Inc.</w:t>
      </w:r>
    </w:p>
    <w:p>
      <w:pPr>
        <w:pStyle w:val="TextBody"/>
        <w:bidi w:val="0"/>
        <w:spacing w:lineRule="auto" w:line="333" w:before="200" w:after="283"/>
        <w:jc w:val="both"/>
        <w:rPr>
          <w:rFonts w:ascii="Arial;sans-serif" w:hAnsi="Arial;sans-serif"/>
          <w:b w:val="false"/>
          <w:color w:val="000000"/>
          <w:sz w:val="20"/>
        </w:rPr>
      </w:pPr>
      <w:r>
        <w:rPr>
          <w:rFonts w:ascii="Arial;sans-serif" w:hAnsi="Arial;sans-serif"/>
          <w:b w:val="false"/>
          <w:color w:val="000000"/>
          <w:sz w:val="20"/>
        </w:rPr>
        <w:t>Sunrise Realty Trust, Inc. (Nasdaq: SUNS) (“SUNS” or the “Company”) is an institutional commercial real estate (“CRE”) lender providing flexible financing solutions to sponsors of CRE projects located primarily in the Southern United States. It focuses on transitional CRE business plans with the potential for near-term value creation, collateralized by top-tier assets predominantly located in established and rapidly expanding Southern markets. For additional information regarding the Company, please visit www.sunriserealtytrust.com.</w:t>
      </w:r>
    </w:p>
    <w:p>
      <w:pPr>
        <w:pStyle w:val="TextBody"/>
        <w:bidi w:val="0"/>
        <w:spacing w:lineRule="auto" w:line="333" w:before="200" w:after="283"/>
        <w:jc w:val="both"/>
        <w:rPr>
          <w:rFonts w:ascii="Arial;sans-serif" w:hAnsi="Arial;sans-serif"/>
          <w:b/>
          <w:i/>
          <w:color w:val="000000"/>
          <w:sz w:val="20"/>
        </w:rPr>
      </w:pPr>
      <w:r>
        <w:rPr>
          <w:rFonts w:ascii="Arial;sans-serif" w:hAnsi="Arial;sans-serif"/>
          <w:b/>
          <w:i/>
          <w:color w:val="000000"/>
          <w:sz w:val="20"/>
        </w:rPr>
        <w:t>About TCG Real Estate</w:t>
      </w:r>
    </w:p>
    <w:p>
      <w:pPr>
        <w:pStyle w:val="TextBody"/>
        <w:bidi w:val="0"/>
        <w:spacing w:lineRule="auto" w:line="333" w:before="200" w:after="283"/>
        <w:jc w:val="both"/>
        <w:rPr>
          <w:rFonts w:ascii="Arial;sans-serif" w:hAnsi="Arial;sans-serif"/>
          <w:b w:val="false"/>
          <w:color w:val="000000"/>
          <w:sz w:val="20"/>
        </w:rPr>
      </w:pPr>
      <w:r>
        <w:rPr>
          <w:rFonts w:ascii="Arial;sans-serif" w:hAnsi="Arial;sans-serif"/>
          <w:b w:val="false"/>
          <w:color w:val="000000"/>
          <w:sz w:val="20"/>
        </w:rPr>
        <w:t xml:space="preserve">TCG Real Estate refers to a group of affiliated CRE-focused debt vehicles, including a Nasdaq-listed mortgage real estate investment trust (“REIT”), Sunrise Realty Trust, Inc. (Nasdaq: SUNS), and a private mortgage REIT, Southern Realty Trust Inc. The vehicles provide flexible financing on transitional CRE properties that present opportunities for near-term value creation, with a focus on top-tier CRE assets located primarily within markets in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08080"/>
                                <w:sz w:val="20"/>
                              </w:rPr>
                            </w:pPr>
                            <w:r>
                              <w:rPr>
                                <w:rFonts w:ascii="Arial;sans-serif" w:hAnsi="Arial;sans-serif"/>
                                <w:b w:val="false"/>
                                <w:color w:val="80808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08080"/>
                          <w:sz w:val="20"/>
                        </w:rPr>
                      </w:pPr>
                      <w:r>
                        <w:rPr>
                          <w:rFonts w:ascii="Arial;sans-serif" w:hAnsi="Arial;sans-serif"/>
                          <w:b w:val="false"/>
                          <w:color w:val="80808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both"/>
        <w:rPr>
          <w:rFonts w:ascii="Arial;sans-serif" w:hAnsi="Arial;sans-serif"/>
          <w:b w:val="false"/>
          <w:color w:val="000000"/>
          <w:sz w:val="20"/>
        </w:rPr>
      </w:pPr>
      <w:r>
        <w:rPr>
          <w:rFonts w:ascii="Arial;sans-serif" w:hAnsi="Arial;sans-serif"/>
          <w:b w:val="false"/>
          <w:color w:val="000000"/>
          <w:sz w:val="20"/>
        </w:rPr>
        <w:t>the Southern U.S. benefiting from economic tailwinds with growth potential. For additional information regarding TCG Real Estate, please visit www.theTCG.com.</w:t>
      </w:r>
    </w:p>
    <w:p>
      <w:pPr>
        <w:pStyle w:val="TextBody"/>
        <w:bidi w:val="0"/>
        <w:spacing w:lineRule="auto" w:line="319" w:before="200" w:after="120"/>
        <w:jc w:val="both"/>
        <w:rPr>
          <w:rFonts w:ascii="Arial;sans-serif" w:hAnsi="Arial;sans-serif"/>
          <w:b/>
          <w:i/>
          <w:color w:val="000000"/>
          <w:sz w:val="20"/>
        </w:rPr>
      </w:pPr>
      <w:r>
        <w:rPr>
          <w:rFonts w:ascii="Arial;sans-serif" w:hAnsi="Arial;sans-serif"/>
          <w:b/>
          <w:i/>
          <w:color w:val="000000"/>
          <w:sz w:val="20"/>
        </w:rPr>
        <w:t>Forward-Looking Statements</w:t>
      </w:r>
    </w:p>
    <w:p>
      <w:pPr>
        <w:pStyle w:val="TextBody"/>
        <w:bidi w:val="0"/>
        <w:spacing w:lineRule="auto" w:line="333" w:before="0" w:after="120"/>
        <w:jc w:val="both"/>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including statements regarding the expected timing of the closing of the Merger, the anticipated benefits of the Merger and the payment of the Stub Period Dividend. Words such as “believes,” “expects,” “will,” “intends,” “plans,” “estimates,” “projects,” “may,” “anticipates,” and “future” or similar expressions are intended to identify forward-looking statements. These forward-looking statements are subject to the inherent uncertainties in predicting future results and conditions and are not guarantees of future performance, conditions or results. Certain factors could cause actual results and performance to differ materially from those projected in these forward-looking statements, including the risk that the Merger is not completed on the anticipated terms or timeline, or at all; the failure to satisfy the remaining closing conditions to the Merger; the occurrence of any event, change or other circumstance that could give rise to the termination of the Merger Agreement; the failure to realize the anticipated benefits of the Merger; the risk that the businesses of SUNS and SRT will not be integrated successfully or that such integration may be more difficult, time-consuming or costly than expected; the effect of the pendency or consummation of the Merger on the parties’ business relationships and operating results; the risk of stockholder litigation in connection with the Merger; risks related to diverting the attention of management from ongoing business operations; the effect of the consummation of the Merger on the market price of SUNS common stock; and the other factors described in SUNS’ filings with the SEC, including in the “Risk Factors” and “Management’s Discussion and Analysis of Financial Condition and Results of Operations” sections of SUNS’ Annual Report on Form 10-K filed on March 12, 2026, and subsequently filed Quarterly Reports on Form 10-Q. New risks and uncertainties arise over time, and it is not possible to predict those events or how they may affect SUNS or SRT. We do not undertake any obligation to publicly update or revise any forward-looking statements, whether as a result of new information, future events or otherwise, except as required by law.</w:t>
      </w:r>
    </w:p>
    <w:p>
      <w:pPr>
        <w:pStyle w:val="TextBody"/>
        <w:bidi w:val="0"/>
        <w:spacing w:lineRule="auto" w:line="319" w:before="200" w:after="120"/>
        <w:jc w:val="both"/>
        <w:rPr>
          <w:rFonts w:ascii="Arial;sans-serif" w:hAnsi="Arial;sans-serif"/>
          <w:b/>
          <w:i/>
          <w:color w:val="000000"/>
          <w:sz w:val="20"/>
        </w:rPr>
      </w:pPr>
      <w:r>
        <w:rPr>
          <w:rFonts w:ascii="Arial;sans-serif" w:hAnsi="Arial;sans-serif"/>
          <w:b/>
          <w:i/>
          <w:color w:val="000000"/>
          <w:sz w:val="20"/>
        </w:rPr>
        <w:t>Investor Relations Contacts</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Robyn Tannenbaum // Will Rotatori</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561-510-2293 // 561-510-6109</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ir@thetcg.com</w:t>
      </w:r>
    </w:p>
    <w:p>
      <w:pPr>
        <w:pStyle w:val="TextBody"/>
        <w:bidi w:val="0"/>
        <w:spacing w:lineRule="auto" w:line="319" w:before="0" w:after="120"/>
        <w:jc w:val="both"/>
        <w:rPr>
          <w:rFonts w:ascii="Arial;sans-serif" w:hAnsi="Arial;sans-serif"/>
          <w:b/>
          <w:i/>
          <w:color w:val="000000"/>
          <w:sz w:val="20"/>
        </w:rPr>
      </w:pPr>
      <w:r>
        <w:rPr>
          <w:rFonts w:ascii="Arial;sans-serif" w:hAnsi="Arial;sans-serif"/>
          <w:b/>
          <w:i/>
          <w:color w:val="000000"/>
          <w:sz w:val="20"/>
        </w:rPr>
        <w:t>Media Contact</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Jim Velgot</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561-510-1416</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ir@thetcg.com</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08080"/>
                                <w:sz w:val="20"/>
                              </w:rPr>
                            </w:pPr>
                            <w:r>
                              <w:rPr>
                                <w:rFonts w:ascii="Arial;sans-serif" w:hAnsi="Arial;sans-serif"/>
                                <w:b w:val="false"/>
                                <w:color w:val="80808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08080"/>
                          <w:sz w:val="20"/>
                        </w:rPr>
                      </w:pPr>
                      <w:r>
                        <w:rPr>
                          <w:rFonts w:ascii="Arial;sans-serif" w:hAnsi="Arial;sans-serif"/>
                          <w:b w:val="false"/>
                          <w:color w:val="808080"/>
                          <w:sz w:val="20"/>
                        </w:rPr>
                        <w:t>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2537</Words>
  <Characters>14275</Characters>
  <CharactersWithSpaces>16725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