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2210.xml.htm"/>
      <w:bookmarkStart w:id="1" w:name="kswkform4_17866522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OKEECHOBEE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Sunrise Realty Trust, Inc.</w:t>
              </w:r>
            </w:hyperlink>
            <w:r>
              <w:rPr/>
              <w:t xml:space="preserve"> [ </w:t>
            </w:r>
            <w:r>
              <w:rPr>
                <w:rFonts w:ascii="Times;serif" w:hAnsi="Times;serif"/>
                <w:color w:val="0000FF"/>
                <w:sz w:val="24"/>
                <w:shd w:fill="FFFFFF" w:val="clear"/>
              </w:rPr>
              <w:t>SUNS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618"/>
        <w:gridCol w:w="1266"/>
        <w:gridCol w:w="985"/>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w:t>
            </w:r>
            <w:r>
              <w:rPr>
                <w:rFonts w:ascii="Times;serif" w:hAnsi="Times;serif"/>
                <w:color w:val="008000"/>
                <w:position w:val="7"/>
                <w:sz w:val="16"/>
                <w:sz w:val="20"/>
                <w:shd w:fill="FFFFFF" w:val="clear"/>
              </w:rPr>
              <w:t>(1)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3,092,719</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585,681</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reporting person as UTMA custodian for son</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58,958</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46,516</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$7.58 to $7.60;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Sunny 5 Irrevocable Trust for benefit of certain members of the Reporting Person's family, for which Jeffrey Boccuzzi is a Co-Trustee.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Tannenbaum Family 2012 Trust for benefit of certain members of the Reporting Person's family, for which Gabriel Katz is a Co-Trustee.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Hetzel,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2012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4556</Characters>
  <CharactersWithSpaces>5303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